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E85A9" w14:textId="77777777" w:rsidR="00FE53D9" w:rsidRDefault="00FE53D9" w:rsidP="00FE53D9">
      <w:pPr>
        <w:pStyle w:val="Heading4"/>
        <w:tabs>
          <w:tab w:val="left" w:pos="2552"/>
          <w:tab w:val="right" w:leader="underscore" w:pos="7938"/>
        </w:tabs>
        <w:jc w:val="center"/>
      </w:pPr>
      <w:bookmarkStart w:id="0" w:name="_GoBack"/>
      <w:bookmarkEnd w:id="0"/>
      <w:r>
        <w:t>Incidental phone expenses safe harbour worksheet</w:t>
      </w:r>
    </w:p>
    <w:p w14:paraId="30AA6848" w14:textId="77777777" w:rsidR="00FE53D9" w:rsidRPr="00D97360" w:rsidRDefault="00FE53D9" w:rsidP="00FE53D9">
      <w:pPr>
        <w:pStyle w:val="BodyText"/>
      </w:pPr>
    </w:p>
    <w:p w14:paraId="146F5B5E" w14:textId="77777777" w:rsidR="00FE53D9" w:rsidRPr="00C97EA2" w:rsidRDefault="00FE53D9" w:rsidP="00FE53D9">
      <w:pPr>
        <w:pStyle w:val="BodyText"/>
        <w:tabs>
          <w:tab w:val="left" w:pos="2552"/>
          <w:tab w:val="right" w:leader="underscore" w:pos="9356"/>
        </w:tabs>
        <w:rPr>
          <w:b/>
        </w:rPr>
      </w:pPr>
      <w:r w:rsidRPr="00C97EA2">
        <w:rPr>
          <w:b/>
        </w:rPr>
        <w:t>Taxpayer’s name</w:t>
      </w:r>
      <w:r w:rsidRPr="00C97EA2">
        <w:rPr>
          <w:b/>
        </w:rPr>
        <w:tab/>
      </w:r>
      <w:r w:rsidRPr="00C97EA2">
        <w:rPr>
          <w:b/>
        </w:rPr>
        <w:tab/>
      </w:r>
    </w:p>
    <w:p w14:paraId="0F10DB06" w14:textId="77777777" w:rsidR="00FE53D9" w:rsidRPr="00C97EA2" w:rsidRDefault="00FE53D9" w:rsidP="00FE53D9">
      <w:pPr>
        <w:pStyle w:val="BodyText"/>
        <w:tabs>
          <w:tab w:val="left" w:pos="2552"/>
          <w:tab w:val="right" w:leader="underscore" w:pos="9356"/>
        </w:tabs>
        <w:rPr>
          <w:b/>
        </w:rPr>
      </w:pPr>
      <w:r w:rsidRPr="00C97EA2">
        <w:rPr>
          <w:b/>
        </w:rPr>
        <w:t>Tax file number</w:t>
      </w:r>
      <w:r w:rsidRPr="00C97EA2">
        <w:rPr>
          <w:b/>
        </w:rPr>
        <w:tab/>
      </w:r>
      <w:r w:rsidRPr="00C97EA2">
        <w:rPr>
          <w:b/>
        </w:rPr>
        <w:tab/>
      </w:r>
    </w:p>
    <w:p w14:paraId="14AF3FA9" w14:textId="77777777" w:rsidR="00FE53D9" w:rsidRPr="00C97EA2" w:rsidRDefault="00FE53D9" w:rsidP="00FE53D9">
      <w:pPr>
        <w:pStyle w:val="BodyText"/>
        <w:tabs>
          <w:tab w:val="left" w:pos="2552"/>
          <w:tab w:val="right" w:leader="underscore" w:pos="9356"/>
        </w:tabs>
        <w:rPr>
          <w:b/>
        </w:rPr>
      </w:pPr>
      <w:r w:rsidRPr="00C97EA2">
        <w:rPr>
          <w:b/>
        </w:rPr>
        <w:t>Year ended</w:t>
      </w:r>
      <w:r w:rsidRPr="00C97EA2">
        <w:rPr>
          <w:b/>
        </w:rPr>
        <w:tab/>
      </w:r>
      <w:r w:rsidRPr="00C97EA2">
        <w:rPr>
          <w:b/>
        </w:rPr>
        <w:tab/>
      </w:r>
    </w:p>
    <w:p w14:paraId="2229FF01" w14:textId="77777777" w:rsidR="00FE53D9" w:rsidRPr="00C97EA2" w:rsidRDefault="00FE53D9" w:rsidP="00FE53D9">
      <w:pPr>
        <w:pStyle w:val="BodyText"/>
        <w:tabs>
          <w:tab w:val="left" w:pos="2552"/>
          <w:tab w:val="right" w:leader="underscore" w:pos="9356"/>
        </w:tabs>
        <w:rPr>
          <w:b/>
        </w:rPr>
      </w:pPr>
      <w:r w:rsidRPr="00C97EA2">
        <w:rPr>
          <w:b/>
        </w:rPr>
        <w:t>Employer (if applicable)</w:t>
      </w:r>
      <w:r w:rsidRPr="00C97EA2">
        <w:rPr>
          <w:b/>
        </w:rPr>
        <w:tab/>
      </w:r>
      <w:r w:rsidRPr="00C97EA2">
        <w:rPr>
          <w:b/>
        </w:rPr>
        <w:tab/>
      </w:r>
    </w:p>
    <w:p w14:paraId="40287D37" w14:textId="77777777" w:rsidR="00FE53D9" w:rsidRPr="00C97EA2" w:rsidRDefault="00FE53D9" w:rsidP="00FE53D9">
      <w:pPr>
        <w:pStyle w:val="BodyText"/>
        <w:tabs>
          <w:tab w:val="left" w:pos="2552"/>
          <w:tab w:val="right" w:leader="underscore" w:pos="9356"/>
        </w:tabs>
        <w:rPr>
          <w:b/>
        </w:rPr>
      </w:pPr>
      <w:r>
        <w:rPr>
          <w:b/>
        </w:rPr>
        <w:t>Applicable phone No.</w:t>
      </w:r>
      <w:r w:rsidRPr="00C97EA2">
        <w:rPr>
          <w:b/>
        </w:rPr>
        <w:tab/>
      </w:r>
      <w:r w:rsidRPr="00C97EA2">
        <w:rPr>
          <w:b/>
        </w:rPr>
        <w:tab/>
      </w:r>
    </w:p>
    <w:p w14:paraId="6C587521" w14:textId="77777777" w:rsidR="00FE53D9" w:rsidRDefault="00FE53D9" w:rsidP="00FE53D9">
      <w:pPr>
        <w:pStyle w:val="BodyText"/>
      </w:pPr>
    </w:p>
    <w:p w14:paraId="18925E23" w14:textId="77777777" w:rsidR="00FE53D9" w:rsidRDefault="00FE53D9" w:rsidP="00FE53D9">
      <w:pPr>
        <w:pStyle w:val="BodyText"/>
      </w:pPr>
      <w:r>
        <w:t xml:space="preserve">The following worksheet should be utilised when calculating an individual’s incidental use of either their mobile phone or landline where they are not claiming a deduction of more than $50 in total, for a particular income year.  </w:t>
      </w:r>
    </w:p>
    <w:p w14:paraId="423234F7" w14:textId="77777777" w:rsidR="00FE53D9" w:rsidRDefault="00FE53D9" w:rsidP="00FE53D9">
      <w:pPr>
        <w:pStyle w:val="BodyText"/>
        <w:rPr>
          <w:i/>
        </w:rPr>
      </w:pPr>
      <w:r>
        <w:t xml:space="preserve">The relevant rates (reproduced below) are established in the ATO’s fact sheet </w:t>
      </w:r>
      <w:r>
        <w:rPr>
          <w:i/>
        </w:rPr>
        <w:t>Claiming mobile phone, internet and home phone expenses.</w:t>
      </w:r>
    </w:p>
    <w:p w14:paraId="1B26AFD0" w14:textId="77777777" w:rsidR="00FE53D9" w:rsidRPr="00851F2B" w:rsidRDefault="00FE53D9" w:rsidP="00FE53D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94"/>
        <w:gridCol w:w="2104"/>
        <w:gridCol w:w="2075"/>
      </w:tblGrid>
      <w:tr w:rsidR="00FE53D9" w:rsidRPr="0037353A" w14:paraId="18B284A0" w14:textId="77777777" w:rsidTr="000B7884">
        <w:tc>
          <w:tcPr>
            <w:tcW w:w="2463" w:type="dxa"/>
            <w:tcBorders>
              <w:top w:val="double" w:sz="12" w:space="0" w:color="auto"/>
              <w:left w:val="double" w:sz="12" w:space="0" w:color="auto"/>
              <w:bottom w:val="single" w:sz="4" w:space="0" w:color="FFFFFF"/>
              <w:right w:val="single" w:sz="4" w:space="0" w:color="FFFFFF"/>
            </w:tcBorders>
            <w:shd w:val="clear" w:color="auto" w:fill="000000"/>
          </w:tcPr>
          <w:p w14:paraId="36338E5D" w14:textId="77777777" w:rsidR="00FE53D9" w:rsidRPr="0037353A" w:rsidRDefault="00FE53D9" w:rsidP="000B7884">
            <w:pPr>
              <w:pStyle w:val="BodyText"/>
              <w:jc w:val="center"/>
              <w:rPr>
                <w:rFonts w:ascii="Arial Black" w:hAnsi="Arial Black"/>
                <w:sz w:val="22"/>
                <w:szCs w:val="22"/>
              </w:rPr>
            </w:pPr>
            <w:r>
              <w:rPr>
                <w:rFonts w:ascii="Arial Black" w:hAnsi="Arial Black"/>
                <w:sz w:val="22"/>
                <w:szCs w:val="22"/>
              </w:rPr>
              <w:t>Type of work related communication</w:t>
            </w:r>
          </w:p>
        </w:tc>
        <w:tc>
          <w:tcPr>
            <w:tcW w:w="2463" w:type="dxa"/>
            <w:tcBorders>
              <w:top w:val="double" w:sz="12" w:space="0" w:color="auto"/>
              <w:left w:val="single" w:sz="4" w:space="0" w:color="FFFFFF"/>
              <w:bottom w:val="single" w:sz="4" w:space="0" w:color="FFFFFF"/>
              <w:right w:val="single" w:sz="4" w:space="0" w:color="FFFFFF"/>
            </w:tcBorders>
            <w:shd w:val="clear" w:color="auto" w:fill="000000"/>
          </w:tcPr>
          <w:p w14:paraId="72E94A6B" w14:textId="77777777" w:rsidR="00FE53D9" w:rsidRDefault="00FE53D9" w:rsidP="000B7884">
            <w:pPr>
              <w:pStyle w:val="BodyText"/>
              <w:jc w:val="center"/>
              <w:rPr>
                <w:rFonts w:ascii="Arial Black" w:hAnsi="Arial Black"/>
                <w:sz w:val="22"/>
                <w:szCs w:val="22"/>
              </w:rPr>
            </w:pPr>
            <w:r w:rsidRPr="0037353A">
              <w:rPr>
                <w:rFonts w:ascii="Arial Black" w:hAnsi="Arial Black"/>
                <w:sz w:val="22"/>
                <w:szCs w:val="22"/>
              </w:rPr>
              <w:t>Number of communications</w:t>
            </w:r>
          </w:p>
          <w:p w14:paraId="7AD8D365" w14:textId="77777777" w:rsidR="00FE53D9" w:rsidRPr="0037353A" w:rsidRDefault="00FE53D9" w:rsidP="000B7884">
            <w:pPr>
              <w:pStyle w:val="BodyText"/>
              <w:jc w:val="center"/>
              <w:rPr>
                <w:rFonts w:ascii="Arial Black" w:hAnsi="Arial Black"/>
                <w:sz w:val="22"/>
                <w:szCs w:val="22"/>
              </w:rPr>
            </w:pPr>
            <w:r w:rsidRPr="0037353A">
              <w:rPr>
                <w:rFonts w:ascii="Arial Black" w:hAnsi="Arial Black"/>
                <w:sz w:val="22"/>
                <w:szCs w:val="22"/>
              </w:rPr>
              <w:t>(A)</w:t>
            </w:r>
          </w:p>
        </w:tc>
        <w:tc>
          <w:tcPr>
            <w:tcW w:w="2464" w:type="dxa"/>
            <w:tcBorders>
              <w:top w:val="double" w:sz="12" w:space="0" w:color="auto"/>
              <w:left w:val="single" w:sz="4" w:space="0" w:color="FFFFFF"/>
              <w:bottom w:val="single" w:sz="4" w:space="0" w:color="FFFFFF"/>
              <w:right w:val="single" w:sz="4" w:space="0" w:color="FFFFFF"/>
            </w:tcBorders>
            <w:shd w:val="clear" w:color="auto" w:fill="000000"/>
          </w:tcPr>
          <w:p w14:paraId="6B32B284" w14:textId="77777777" w:rsidR="00FE53D9" w:rsidRDefault="00FE53D9" w:rsidP="000B7884">
            <w:pPr>
              <w:pStyle w:val="BodyText"/>
              <w:jc w:val="center"/>
              <w:rPr>
                <w:rFonts w:ascii="Arial Black" w:hAnsi="Arial Black"/>
                <w:sz w:val="22"/>
                <w:szCs w:val="22"/>
              </w:rPr>
            </w:pPr>
            <w:r w:rsidRPr="0037353A">
              <w:rPr>
                <w:rFonts w:ascii="Arial Black" w:hAnsi="Arial Black"/>
                <w:sz w:val="22"/>
                <w:szCs w:val="22"/>
              </w:rPr>
              <w:t xml:space="preserve">Safe harbour </w:t>
            </w:r>
            <w:r>
              <w:rPr>
                <w:rFonts w:ascii="Arial Black" w:hAnsi="Arial Black"/>
                <w:sz w:val="22"/>
                <w:szCs w:val="22"/>
              </w:rPr>
              <w:t xml:space="preserve"> </w:t>
            </w:r>
            <w:r w:rsidRPr="0037353A">
              <w:rPr>
                <w:rFonts w:ascii="Arial Black" w:hAnsi="Arial Black"/>
                <w:sz w:val="22"/>
                <w:szCs w:val="22"/>
              </w:rPr>
              <w:t>rates</w:t>
            </w:r>
          </w:p>
          <w:p w14:paraId="12F7504A" w14:textId="77777777" w:rsidR="00FE53D9" w:rsidRPr="0037353A" w:rsidRDefault="00FE53D9" w:rsidP="000B7884">
            <w:pPr>
              <w:pStyle w:val="BodyText"/>
              <w:jc w:val="center"/>
              <w:rPr>
                <w:rFonts w:ascii="Arial Black" w:hAnsi="Arial Black"/>
                <w:sz w:val="22"/>
                <w:szCs w:val="22"/>
              </w:rPr>
            </w:pPr>
            <w:r w:rsidRPr="0037353A">
              <w:rPr>
                <w:rFonts w:ascii="Arial Black" w:hAnsi="Arial Black"/>
                <w:sz w:val="22"/>
                <w:szCs w:val="22"/>
              </w:rPr>
              <w:t>(B)</w:t>
            </w:r>
          </w:p>
        </w:tc>
        <w:tc>
          <w:tcPr>
            <w:tcW w:w="2464" w:type="dxa"/>
            <w:tcBorders>
              <w:top w:val="double" w:sz="12" w:space="0" w:color="auto"/>
              <w:left w:val="single" w:sz="4" w:space="0" w:color="FFFFFF"/>
              <w:bottom w:val="single" w:sz="4" w:space="0" w:color="FFFFFF"/>
              <w:right w:val="double" w:sz="12" w:space="0" w:color="auto"/>
            </w:tcBorders>
            <w:shd w:val="clear" w:color="auto" w:fill="000000"/>
          </w:tcPr>
          <w:p w14:paraId="34CFF4BC" w14:textId="77777777" w:rsidR="00FE53D9" w:rsidRDefault="00FE53D9" w:rsidP="000B7884">
            <w:pPr>
              <w:pStyle w:val="BodyText"/>
              <w:jc w:val="center"/>
              <w:rPr>
                <w:rFonts w:ascii="Arial Black" w:hAnsi="Arial Black"/>
                <w:sz w:val="22"/>
                <w:szCs w:val="22"/>
              </w:rPr>
            </w:pPr>
            <w:r>
              <w:rPr>
                <w:rFonts w:ascii="Arial Black" w:hAnsi="Arial Black"/>
                <w:sz w:val="22"/>
                <w:szCs w:val="22"/>
              </w:rPr>
              <w:t xml:space="preserve">TOTAL                </w:t>
            </w:r>
          </w:p>
          <w:p w14:paraId="28EC9F93" w14:textId="77777777" w:rsidR="00FE53D9" w:rsidRPr="0037353A" w:rsidRDefault="00FE53D9" w:rsidP="000B7884">
            <w:pPr>
              <w:pStyle w:val="BodyText"/>
              <w:jc w:val="center"/>
              <w:rPr>
                <w:rFonts w:ascii="Arial Black" w:hAnsi="Arial Black"/>
                <w:sz w:val="22"/>
                <w:szCs w:val="22"/>
              </w:rPr>
            </w:pPr>
            <w:r w:rsidRPr="0037353A">
              <w:rPr>
                <w:rFonts w:ascii="Arial Black" w:hAnsi="Arial Black"/>
                <w:sz w:val="22"/>
                <w:szCs w:val="22"/>
              </w:rPr>
              <w:t>(A) x (B)</w:t>
            </w:r>
          </w:p>
        </w:tc>
      </w:tr>
      <w:tr w:rsidR="00FE53D9" w:rsidRPr="0037353A" w14:paraId="72ED3FE2" w14:textId="77777777" w:rsidTr="000B7884">
        <w:tc>
          <w:tcPr>
            <w:tcW w:w="2463" w:type="dxa"/>
            <w:tcBorders>
              <w:top w:val="single" w:sz="4" w:space="0" w:color="FFFFFF"/>
              <w:left w:val="double" w:sz="12" w:space="0" w:color="auto"/>
            </w:tcBorders>
            <w:shd w:val="clear" w:color="auto" w:fill="auto"/>
          </w:tcPr>
          <w:p w14:paraId="1396A6C6" w14:textId="77777777" w:rsidR="00FE53D9" w:rsidRPr="0037353A" w:rsidRDefault="00FE53D9" w:rsidP="000B7884">
            <w:pPr>
              <w:pStyle w:val="BodyText"/>
              <w:jc w:val="center"/>
              <w:rPr>
                <w:b/>
                <w:sz w:val="24"/>
                <w:szCs w:val="24"/>
              </w:rPr>
            </w:pPr>
            <w:r w:rsidRPr="0037353A">
              <w:rPr>
                <w:b/>
                <w:sz w:val="24"/>
                <w:szCs w:val="24"/>
              </w:rPr>
              <w:t>Landline call</w:t>
            </w:r>
          </w:p>
        </w:tc>
        <w:tc>
          <w:tcPr>
            <w:tcW w:w="2463" w:type="dxa"/>
            <w:tcBorders>
              <w:top w:val="single" w:sz="4" w:space="0" w:color="FFFFFF"/>
            </w:tcBorders>
            <w:shd w:val="clear" w:color="auto" w:fill="auto"/>
          </w:tcPr>
          <w:p w14:paraId="1588B9B2" w14:textId="77777777" w:rsidR="00FE53D9" w:rsidRPr="0037353A" w:rsidRDefault="00FE53D9" w:rsidP="000B7884">
            <w:pPr>
              <w:pStyle w:val="BodyText"/>
              <w:rPr>
                <w:sz w:val="24"/>
                <w:szCs w:val="24"/>
              </w:rPr>
            </w:pPr>
          </w:p>
        </w:tc>
        <w:tc>
          <w:tcPr>
            <w:tcW w:w="2464" w:type="dxa"/>
            <w:tcBorders>
              <w:top w:val="single" w:sz="4" w:space="0" w:color="FFFFFF"/>
            </w:tcBorders>
            <w:shd w:val="clear" w:color="auto" w:fill="auto"/>
          </w:tcPr>
          <w:p w14:paraId="3948AB3F" w14:textId="77777777" w:rsidR="00FE53D9" w:rsidRPr="00C54FBE" w:rsidRDefault="00FE53D9" w:rsidP="000B7884">
            <w:pPr>
              <w:pStyle w:val="BodyText"/>
              <w:jc w:val="center"/>
              <w:rPr>
                <w:b/>
                <w:sz w:val="24"/>
                <w:szCs w:val="24"/>
              </w:rPr>
            </w:pPr>
            <w:r w:rsidRPr="00C54FBE">
              <w:rPr>
                <w:b/>
                <w:sz w:val="24"/>
                <w:szCs w:val="24"/>
              </w:rPr>
              <w:t>$0.25</w:t>
            </w:r>
          </w:p>
        </w:tc>
        <w:tc>
          <w:tcPr>
            <w:tcW w:w="2464" w:type="dxa"/>
            <w:tcBorders>
              <w:top w:val="single" w:sz="4" w:space="0" w:color="FFFFFF"/>
              <w:right w:val="double" w:sz="12" w:space="0" w:color="auto"/>
            </w:tcBorders>
            <w:shd w:val="clear" w:color="auto" w:fill="auto"/>
          </w:tcPr>
          <w:p w14:paraId="33DE519A" w14:textId="77777777" w:rsidR="00FE53D9" w:rsidRPr="0037353A" w:rsidRDefault="00FE53D9" w:rsidP="000B7884">
            <w:pPr>
              <w:pStyle w:val="BodyText"/>
              <w:rPr>
                <w:sz w:val="24"/>
                <w:szCs w:val="24"/>
              </w:rPr>
            </w:pPr>
          </w:p>
        </w:tc>
      </w:tr>
      <w:tr w:rsidR="00FE53D9" w:rsidRPr="0037353A" w14:paraId="4B4719E0" w14:textId="77777777" w:rsidTr="000B7884">
        <w:tc>
          <w:tcPr>
            <w:tcW w:w="2463" w:type="dxa"/>
            <w:tcBorders>
              <w:left w:val="double" w:sz="12" w:space="0" w:color="auto"/>
            </w:tcBorders>
            <w:shd w:val="clear" w:color="auto" w:fill="auto"/>
          </w:tcPr>
          <w:p w14:paraId="12B8B11F" w14:textId="77777777" w:rsidR="00FE53D9" w:rsidRPr="0037353A" w:rsidRDefault="00FE53D9" w:rsidP="000B7884">
            <w:pPr>
              <w:pStyle w:val="BodyText"/>
              <w:jc w:val="center"/>
              <w:rPr>
                <w:b/>
                <w:sz w:val="24"/>
                <w:szCs w:val="24"/>
              </w:rPr>
            </w:pPr>
            <w:r w:rsidRPr="0037353A">
              <w:rPr>
                <w:b/>
                <w:sz w:val="24"/>
                <w:szCs w:val="24"/>
              </w:rPr>
              <w:t>Mobile call</w:t>
            </w:r>
          </w:p>
        </w:tc>
        <w:tc>
          <w:tcPr>
            <w:tcW w:w="2463" w:type="dxa"/>
            <w:shd w:val="clear" w:color="auto" w:fill="auto"/>
          </w:tcPr>
          <w:p w14:paraId="526FBB04" w14:textId="77777777" w:rsidR="00FE53D9" w:rsidRPr="0037353A" w:rsidRDefault="00FE53D9" w:rsidP="000B7884">
            <w:pPr>
              <w:pStyle w:val="BodyText"/>
              <w:rPr>
                <w:sz w:val="24"/>
                <w:szCs w:val="24"/>
              </w:rPr>
            </w:pPr>
          </w:p>
        </w:tc>
        <w:tc>
          <w:tcPr>
            <w:tcW w:w="2464" w:type="dxa"/>
            <w:shd w:val="clear" w:color="auto" w:fill="auto"/>
          </w:tcPr>
          <w:p w14:paraId="2366709B" w14:textId="77777777" w:rsidR="00FE53D9" w:rsidRPr="00C54FBE" w:rsidRDefault="00FE53D9" w:rsidP="000B7884">
            <w:pPr>
              <w:pStyle w:val="BodyText"/>
              <w:jc w:val="center"/>
              <w:rPr>
                <w:b/>
                <w:sz w:val="24"/>
                <w:szCs w:val="24"/>
              </w:rPr>
            </w:pPr>
            <w:r w:rsidRPr="00C54FBE">
              <w:rPr>
                <w:b/>
                <w:sz w:val="24"/>
                <w:szCs w:val="24"/>
              </w:rPr>
              <w:t>$0.75</w:t>
            </w:r>
          </w:p>
        </w:tc>
        <w:tc>
          <w:tcPr>
            <w:tcW w:w="2464" w:type="dxa"/>
            <w:tcBorders>
              <w:right w:val="double" w:sz="12" w:space="0" w:color="auto"/>
            </w:tcBorders>
            <w:shd w:val="clear" w:color="auto" w:fill="auto"/>
          </w:tcPr>
          <w:p w14:paraId="2BFAB038" w14:textId="77777777" w:rsidR="00FE53D9" w:rsidRPr="0037353A" w:rsidRDefault="00FE53D9" w:rsidP="000B7884">
            <w:pPr>
              <w:pStyle w:val="BodyText"/>
              <w:rPr>
                <w:sz w:val="24"/>
                <w:szCs w:val="24"/>
              </w:rPr>
            </w:pPr>
          </w:p>
        </w:tc>
      </w:tr>
      <w:tr w:rsidR="00FE53D9" w:rsidRPr="0037353A" w14:paraId="064FDF2C" w14:textId="77777777" w:rsidTr="000B7884">
        <w:trPr>
          <w:trHeight w:val="110"/>
        </w:trPr>
        <w:tc>
          <w:tcPr>
            <w:tcW w:w="2463" w:type="dxa"/>
            <w:tcBorders>
              <w:left w:val="double" w:sz="12" w:space="0" w:color="auto"/>
            </w:tcBorders>
            <w:shd w:val="clear" w:color="auto" w:fill="auto"/>
          </w:tcPr>
          <w:p w14:paraId="01B895CC" w14:textId="77777777" w:rsidR="00FE53D9" w:rsidRPr="0037353A" w:rsidRDefault="00FE53D9" w:rsidP="000B7884">
            <w:pPr>
              <w:pStyle w:val="BodyText"/>
              <w:jc w:val="center"/>
              <w:rPr>
                <w:b/>
                <w:sz w:val="24"/>
                <w:szCs w:val="24"/>
              </w:rPr>
            </w:pPr>
            <w:r w:rsidRPr="0037353A">
              <w:rPr>
                <w:b/>
                <w:sz w:val="24"/>
                <w:szCs w:val="24"/>
              </w:rPr>
              <w:t>Text Message</w:t>
            </w:r>
          </w:p>
        </w:tc>
        <w:tc>
          <w:tcPr>
            <w:tcW w:w="2463" w:type="dxa"/>
            <w:tcBorders>
              <w:bottom w:val="single" w:sz="4" w:space="0" w:color="auto"/>
            </w:tcBorders>
            <w:shd w:val="clear" w:color="auto" w:fill="auto"/>
          </w:tcPr>
          <w:p w14:paraId="21576A69" w14:textId="77777777" w:rsidR="00FE53D9" w:rsidRPr="0037353A" w:rsidRDefault="00FE53D9" w:rsidP="000B7884">
            <w:pPr>
              <w:pStyle w:val="BodyText"/>
              <w:rPr>
                <w:sz w:val="24"/>
                <w:szCs w:val="24"/>
              </w:rPr>
            </w:pPr>
          </w:p>
        </w:tc>
        <w:tc>
          <w:tcPr>
            <w:tcW w:w="2464" w:type="dxa"/>
            <w:tcBorders>
              <w:bottom w:val="single" w:sz="4" w:space="0" w:color="auto"/>
            </w:tcBorders>
            <w:shd w:val="clear" w:color="auto" w:fill="auto"/>
          </w:tcPr>
          <w:p w14:paraId="3199F392" w14:textId="77777777" w:rsidR="00FE53D9" w:rsidRPr="00C54FBE" w:rsidRDefault="00FE53D9" w:rsidP="000B7884">
            <w:pPr>
              <w:pStyle w:val="BodyText"/>
              <w:jc w:val="center"/>
              <w:rPr>
                <w:b/>
                <w:sz w:val="24"/>
                <w:szCs w:val="24"/>
              </w:rPr>
            </w:pPr>
            <w:r w:rsidRPr="00C54FBE">
              <w:rPr>
                <w:b/>
                <w:sz w:val="24"/>
                <w:szCs w:val="24"/>
              </w:rPr>
              <w:t>$0.10</w:t>
            </w:r>
          </w:p>
        </w:tc>
        <w:tc>
          <w:tcPr>
            <w:tcW w:w="2464" w:type="dxa"/>
            <w:tcBorders>
              <w:right w:val="double" w:sz="12" w:space="0" w:color="auto"/>
            </w:tcBorders>
            <w:shd w:val="clear" w:color="auto" w:fill="auto"/>
          </w:tcPr>
          <w:p w14:paraId="7A220612" w14:textId="77777777" w:rsidR="00FE53D9" w:rsidRPr="0037353A" w:rsidRDefault="00FE53D9" w:rsidP="000B7884">
            <w:pPr>
              <w:pStyle w:val="BodyText"/>
              <w:rPr>
                <w:sz w:val="24"/>
                <w:szCs w:val="24"/>
              </w:rPr>
            </w:pPr>
          </w:p>
        </w:tc>
      </w:tr>
      <w:tr w:rsidR="00FE53D9" w:rsidRPr="0037353A" w14:paraId="7A5CBE9A" w14:textId="77777777" w:rsidTr="000B7884">
        <w:trPr>
          <w:trHeight w:val="110"/>
        </w:trPr>
        <w:tc>
          <w:tcPr>
            <w:tcW w:w="2463" w:type="dxa"/>
            <w:tcBorders>
              <w:left w:val="double" w:sz="12" w:space="0" w:color="auto"/>
              <w:bottom w:val="double" w:sz="12" w:space="0" w:color="auto"/>
            </w:tcBorders>
            <w:shd w:val="clear" w:color="auto" w:fill="auto"/>
          </w:tcPr>
          <w:p w14:paraId="41314D90" w14:textId="77777777" w:rsidR="00FE53D9" w:rsidRPr="0037353A" w:rsidRDefault="00FE53D9" w:rsidP="000B7884">
            <w:pPr>
              <w:pStyle w:val="BodyText"/>
              <w:jc w:val="center"/>
              <w:rPr>
                <w:b/>
                <w:sz w:val="24"/>
                <w:szCs w:val="24"/>
              </w:rPr>
            </w:pPr>
            <w:r>
              <w:rPr>
                <w:b/>
                <w:sz w:val="24"/>
                <w:szCs w:val="24"/>
              </w:rPr>
              <w:t>TOTAL incidental phone expense</w:t>
            </w:r>
          </w:p>
        </w:tc>
        <w:tc>
          <w:tcPr>
            <w:tcW w:w="2463" w:type="dxa"/>
            <w:tcBorders>
              <w:bottom w:val="double" w:sz="12" w:space="0" w:color="auto"/>
              <w:right w:val="nil"/>
            </w:tcBorders>
            <w:shd w:val="clear" w:color="auto" w:fill="auto"/>
          </w:tcPr>
          <w:p w14:paraId="1B795818" w14:textId="77777777" w:rsidR="00FE53D9" w:rsidRPr="0037353A" w:rsidRDefault="00FE53D9" w:rsidP="000B7884">
            <w:pPr>
              <w:pStyle w:val="BodyText"/>
              <w:rPr>
                <w:sz w:val="24"/>
                <w:szCs w:val="24"/>
              </w:rPr>
            </w:pPr>
          </w:p>
        </w:tc>
        <w:tc>
          <w:tcPr>
            <w:tcW w:w="2464" w:type="dxa"/>
            <w:tcBorders>
              <w:left w:val="nil"/>
              <w:bottom w:val="double" w:sz="12" w:space="0" w:color="auto"/>
            </w:tcBorders>
            <w:shd w:val="clear" w:color="auto" w:fill="auto"/>
          </w:tcPr>
          <w:p w14:paraId="19354ED6" w14:textId="77777777" w:rsidR="00FE53D9" w:rsidRPr="0037353A" w:rsidRDefault="00FE53D9" w:rsidP="000B7884">
            <w:pPr>
              <w:pStyle w:val="BodyText"/>
              <w:rPr>
                <w:sz w:val="24"/>
                <w:szCs w:val="24"/>
              </w:rPr>
            </w:pPr>
          </w:p>
        </w:tc>
        <w:tc>
          <w:tcPr>
            <w:tcW w:w="2464" w:type="dxa"/>
            <w:tcBorders>
              <w:bottom w:val="double" w:sz="12" w:space="0" w:color="auto"/>
              <w:right w:val="double" w:sz="12" w:space="0" w:color="auto"/>
            </w:tcBorders>
            <w:shd w:val="clear" w:color="auto" w:fill="auto"/>
          </w:tcPr>
          <w:p w14:paraId="2D1E3179" w14:textId="77777777" w:rsidR="00FE53D9" w:rsidRPr="006D543D" w:rsidRDefault="00FE53D9" w:rsidP="000B7884">
            <w:pPr>
              <w:pStyle w:val="BodyText"/>
              <w:spacing w:before="120" w:after="120"/>
              <w:rPr>
                <w:b/>
                <w:sz w:val="24"/>
                <w:szCs w:val="24"/>
              </w:rPr>
            </w:pPr>
            <w:r w:rsidRPr="006D543D">
              <w:rPr>
                <w:b/>
                <w:sz w:val="24"/>
                <w:szCs w:val="24"/>
              </w:rPr>
              <w:t>$</w:t>
            </w:r>
          </w:p>
        </w:tc>
      </w:tr>
    </w:tbl>
    <w:p w14:paraId="53091D5E" w14:textId="77777777" w:rsidR="00FE53D9" w:rsidRDefault="00FE53D9" w:rsidP="00FE53D9">
      <w:pPr>
        <w:pStyle w:val="BodyText"/>
        <w:rPr>
          <w:i/>
        </w:rPr>
      </w:pPr>
    </w:p>
    <w:p w14:paraId="1FB89011" w14:textId="77777777" w:rsidR="00FE53D9" w:rsidRDefault="00FE53D9" w:rsidP="00FE53D9">
      <w:pPr>
        <w:pStyle w:val="BodyText"/>
      </w:pPr>
    </w:p>
    <w:p w14:paraId="067BABC1" w14:textId="77777777" w:rsidR="00FE53D9" w:rsidRDefault="00FE53D9" w:rsidP="00FE53D9">
      <w:pPr>
        <w:pStyle w:val="BodyText"/>
      </w:pPr>
    </w:p>
    <w:p w14:paraId="5178BAD8" w14:textId="77777777" w:rsidR="00FE53D9" w:rsidRDefault="00FE53D9" w:rsidP="00FE53D9">
      <w:pPr>
        <w:pStyle w:val="BodyText"/>
      </w:pPr>
      <w:r>
        <w:tab/>
      </w:r>
      <w:r>
        <w:tab/>
      </w:r>
      <w:r>
        <w:tab/>
      </w:r>
      <w:r>
        <w:tab/>
      </w:r>
      <w:r>
        <w:tab/>
      </w:r>
      <w:r>
        <w:tab/>
      </w:r>
      <w:r>
        <w:tab/>
      </w:r>
      <w:r>
        <w:tab/>
      </w:r>
    </w:p>
    <w:p w14:paraId="1FA4BEFF" w14:textId="77777777" w:rsidR="00FE53D9" w:rsidRDefault="00FE53D9" w:rsidP="00FE53D9">
      <w:pPr>
        <w:pStyle w:val="BodyText"/>
      </w:pPr>
    </w:p>
    <w:p w14:paraId="0E3FFDE7" w14:textId="77777777" w:rsidR="00FE53D9" w:rsidRDefault="00FE53D9" w:rsidP="00FE53D9">
      <w:pPr>
        <w:pStyle w:val="BodyText"/>
        <w:rPr>
          <w:b/>
        </w:rPr>
      </w:pPr>
      <w:r>
        <w:t xml:space="preserve"> </w:t>
      </w:r>
    </w:p>
    <w:p w14:paraId="47FC4269" w14:textId="77777777" w:rsidR="00FE53D9" w:rsidRDefault="00FE53D9" w:rsidP="00FE53D9">
      <w:pPr>
        <w:pStyle w:val="BodyText"/>
        <w:tabs>
          <w:tab w:val="right" w:leader="dot" w:pos="3969"/>
        </w:tabs>
        <w:rPr>
          <w:b/>
        </w:rPr>
      </w:pPr>
    </w:p>
    <w:p w14:paraId="338C9887" w14:textId="77777777" w:rsidR="00FE53D9" w:rsidRDefault="00FE53D9" w:rsidP="00FE53D9">
      <w:pPr>
        <w:pStyle w:val="BodyText"/>
        <w:tabs>
          <w:tab w:val="right" w:leader="dot" w:pos="3969"/>
        </w:tabs>
        <w:rPr>
          <w:b/>
        </w:rPr>
      </w:pPr>
    </w:p>
    <w:p w14:paraId="33C4397A" w14:textId="77777777" w:rsidR="00FE53D9" w:rsidRPr="00000D2B" w:rsidRDefault="00FE53D9" w:rsidP="00FE53D9">
      <w:pPr>
        <w:pStyle w:val="BodyText"/>
        <w:tabs>
          <w:tab w:val="right" w:leader="dot" w:pos="3969"/>
        </w:tabs>
        <w:rPr>
          <w:b/>
        </w:rPr>
      </w:pPr>
      <w:r w:rsidRPr="00000D2B">
        <w:rPr>
          <w:b/>
        </w:rPr>
        <w:t>Signed</w:t>
      </w:r>
      <w:r>
        <w:rPr>
          <w:b/>
        </w:rPr>
        <w:t xml:space="preserve"> (taxpayer) </w:t>
      </w:r>
      <w:r w:rsidRPr="00000D2B">
        <w:tab/>
      </w:r>
      <w:r w:rsidRPr="00000D2B">
        <w:rPr>
          <w:b/>
        </w:rPr>
        <w:tab/>
      </w:r>
    </w:p>
    <w:p w14:paraId="09DDCD46" w14:textId="77777777" w:rsidR="00FE53D9" w:rsidRPr="00000D2B" w:rsidRDefault="00FE53D9" w:rsidP="00FE53D9">
      <w:pPr>
        <w:pStyle w:val="BodyText"/>
        <w:tabs>
          <w:tab w:val="right" w:leader="dot" w:pos="3969"/>
        </w:tabs>
        <w:rPr>
          <w:b/>
        </w:rPr>
      </w:pPr>
      <w:r w:rsidRPr="00000D2B">
        <w:rPr>
          <w:b/>
        </w:rPr>
        <w:t>Dated</w:t>
      </w:r>
    </w:p>
    <w:p w14:paraId="1D18A2A4" w14:textId="77777777" w:rsidR="000D2A01" w:rsidRDefault="000D2A01"/>
    <w:sectPr w:rsidR="000D2A01" w:rsidSect="005239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D9"/>
    <w:rsid w:val="000D2A01"/>
    <w:rsid w:val="005239F5"/>
    <w:rsid w:val="00F42C50"/>
    <w:rsid w:val="00FE5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045821"/>
  <w15:chartTrackingRefBased/>
  <w15:docId w15:val="{69230BF2-0F19-8F4F-AFA8-6B7AF18F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D9"/>
    <w:rPr>
      <w:rFonts w:ascii="Times New Roman" w:eastAsia="Times New Roman" w:hAnsi="Times New Roman" w:cs="Times New Roman"/>
      <w:sz w:val="21"/>
      <w:szCs w:val="20"/>
    </w:rPr>
  </w:style>
  <w:style w:type="paragraph" w:styleId="Heading4">
    <w:name w:val="heading 4"/>
    <w:aliases w:val="Heading 4 Char1,Heading 4 Char Char"/>
    <w:basedOn w:val="Normal"/>
    <w:next w:val="BodyText"/>
    <w:link w:val="Heading4Char"/>
    <w:qFormat/>
    <w:rsid w:val="00FE53D9"/>
    <w:pPr>
      <w:keepNext/>
      <w:spacing w:before="120" w:after="120"/>
      <w:jc w:val="both"/>
      <w:outlineLvl w:val="3"/>
    </w:pPr>
    <w:rPr>
      <w:rFonts w:ascii="Arial Black" w:eastAsia="MS Mincho" w:hAnsi="Arial Black"/>
      <w:bCs/>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Char1 Char,Heading 4 Char Char Char"/>
    <w:basedOn w:val="DefaultParagraphFont"/>
    <w:link w:val="Heading4"/>
    <w:rsid w:val="00FE53D9"/>
    <w:rPr>
      <w:rFonts w:ascii="Arial Black" w:eastAsia="MS Mincho" w:hAnsi="Arial Black" w:cs="Times New Roman"/>
      <w:bCs/>
      <w:snapToGrid w:val="0"/>
      <w:szCs w:val="20"/>
      <w:lang w:val="en-US"/>
    </w:rPr>
  </w:style>
  <w:style w:type="paragraph" w:styleId="BodyText">
    <w:name w:val="Body Text"/>
    <w:aliases w:val="Body Text Char1,Body Text Char Char,Body Text Char1 Char Char,Body Text Char Char Char Char,Body Text Char1 Char Char Char Char,Body Text Char Char Char Char Char Char, Char, Char Char Char Char Char, Char Char Char,Body Text Char2, Cha,Char"/>
    <w:basedOn w:val="Normal"/>
    <w:link w:val="BodyTextChar"/>
    <w:rsid w:val="00FE53D9"/>
    <w:pPr>
      <w:spacing w:after="160"/>
      <w:jc w:val="both"/>
    </w:pPr>
    <w:rPr>
      <w:rFonts w:ascii="Arial" w:eastAsia="MS Mincho" w:hAnsi="Arial"/>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Char Char, Char Char Char Char"/>
    <w:basedOn w:val="DefaultParagraphFont"/>
    <w:link w:val="BodyText"/>
    <w:rsid w:val="00FE53D9"/>
    <w:rPr>
      <w:rFonts w:ascii="Arial" w:eastAsia="MS Mincho"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House</dc:creator>
  <cp:keywords/>
  <dc:description/>
  <cp:lastModifiedBy>Sharon Plant</cp:lastModifiedBy>
  <cp:revision>2</cp:revision>
  <dcterms:created xsi:type="dcterms:W3CDTF">2019-06-21T07:35:00Z</dcterms:created>
  <dcterms:modified xsi:type="dcterms:W3CDTF">2019-06-21T07:35:00Z</dcterms:modified>
</cp:coreProperties>
</file>